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900" w:type="dxa"/>
        <w:tblCellSpacing w:w="0" w:type="dxa"/>
        <w:tblCellMar>
          <w:left w:w="0" w:type="dxa"/>
          <w:right w:w="0" w:type="dxa"/>
        </w:tblCellMar>
        <w:tblLook w:val="04A0" w:firstRow="1" w:lastRow="0" w:firstColumn="1" w:lastColumn="0" w:noHBand="0" w:noVBand="1"/>
      </w:tblPr>
      <w:tblGrid>
        <w:gridCol w:w="1050"/>
        <w:gridCol w:w="5400"/>
        <w:gridCol w:w="1050"/>
        <w:gridCol w:w="5400"/>
      </w:tblGrid>
      <w:tr w:rsidR="00FE1AEB" w:rsidRPr="00FE1AEB" w:rsidTr="00FE1AEB">
        <w:trPr>
          <w:tblCellSpacing w:w="0" w:type="dxa"/>
        </w:trPr>
        <w:tc>
          <w:tcPr>
            <w:tcW w:w="1050" w:type="dxa"/>
            <w:tcMar>
              <w:top w:w="0" w:type="dxa"/>
              <w:left w:w="75" w:type="dxa"/>
              <w:bottom w:w="0" w:type="dxa"/>
              <w:right w:w="0" w:type="dxa"/>
            </w:tcMar>
            <w:vAlign w:val="center"/>
            <w:hideMark/>
          </w:tcPr>
          <w:p w:rsidR="00FE1AEB" w:rsidRPr="00FE1AEB" w:rsidRDefault="00FE1AEB" w:rsidP="00FE1AEB">
            <w:pPr>
              <w:widowControl/>
              <w:spacing w:line="300" w:lineRule="atLeast"/>
              <w:jc w:val="left"/>
              <w:rPr>
                <w:rFonts w:ascii="宋体" w:eastAsia="宋体" w:hAnsi="宋体" w:cs="宋体"/>
                <w:kern w:val="0"/>
                <w:sz w:val="18"/>
                <w:szCs w:val="18"/>
              </w:rPr>
            </w:pPr>
            <w:r w:rsidRPr="00FE1AEB">
              <w:rPr>
                <w:rFonts w:ascii="宋体" w:eastAsia="宋体" w:hAnsi="宋体" w:cs="宋体"/>
                <w:b/>
                <w:bCs/>
                <w:kern w:val="0"/>
                <w:sz w:val="18"/>
                <w:szCs w:val="18"/>
              </w:rPr>
              <w:t>索 引 号：</w:t>
            </w:r>
          </w:p>
        </w:tc>
        <w:tc>
          <w:tcPr>
            <w:tcW w:w="5400" w:type="dxa"/>
            <w:tcMar>
              <w:top w:w="0" w:type="dxa"/>
              <w:left w:w="75" w:type="dxa"/>
              <w:bottom w:w="0" w:type="dxa"/>
              <w:right w:w="0" w:type="dxa"/>
            </w:tcMar>
            <w:vAlign w:val="center"/>
            <w:hideMark/>
          </w:tcPr>
          <w:p w:rsidR="00FE1AEB" w:rsidRPr="00FE1AEB" w:rsidRDefault="00FE1AEB" w:rsidP="00FE1AEB">
            <w:pPr>
              <w:widowControl/>
              <w:spacing w:line="300" w:lineRule="atLeast"/>
              <w:jc w:val="left"/>
              <w:rPr>
                <w:rFonts w:ascii="宋体" w:eastAsia="宋体" w:hAnsi="宋体" w:cs="宋体"/>
                <w:kern w:val="0"/>
                <w:sz w:val="18"/>
                <w:szCs w:val="18"/>
              </w:rPr>
            </w:pPr>
            <w:r w:rsidRPr="00FE1AEB">
              <w:rPr>
                <w:rFonts w:ascii="宋体" w:eastAsia="宋体" w:hAnsi="宋体" w:cs="宋体"/>
                <w:kern w:val="0"/>
                <w:sz w:val="18"/>
                <w:szCs w:val="18"/>
              </w:rPr>
              <w:t>000014349/2016-00200</w:t>
            </w:r>
          </w:p>
        </w:tc>
        <w:tc>
          <w:tcPr>
            <w:tcW w:w="1050" w:type="dxa"/>
            <w:tcMar>
              <w:top w:w="0" w:type="dxa"/>
              <w:left w:w="75" w:type="dxa"/>
              <w:bottom w:w="0" w:type="dxa"/>
              <w:right w:w="0" w:type="dxa"/>
            </w:tcMar>
            <w:vAlign w:val="center"/>
            <w:hideMark/>
          </w:tcPr>
          <w:p w:rsidR="00FE1AEB" w:rsidRPr="00FE1AEB" w:rsidRDefault="00FE1AEB" w:rsidP="00FE1AEB">
            <w:pPr>
              <w:widowControl/>
              <w:spacing w:line="300" w:lineRule="atLeast"/>
              <w:jc w:val="left"/>
              <w:rPr>
                <w:rFonts w:ascii="宋体" w:eastAsia="宋体" w:hAnsi="宋体" w:cs="宋体"/>
                <w:kern w:val="0"/>
                <w:sz w:val="18"/>
                <w:szCs w:val="18"/>
              </w:rPr>
            </w:pPr>
            <w:r w:rsidRPr="00FE1AEB">
              <w:rPr>
                <w:rFonts w:ascii="宋体" w:eastAsia="宋体" w:hAnsi="宋体" w:cs="宋体"/>
                <w:b/>
                <w:bCs/>
                <w:kern w:val="0"/>
                <w:sz w:val="18"/>
                <w:szCs w:val="18"/>
              </w:rPr>
              <w:t>主题分类：</w:t>
            </w:r>
          </w:p>
        </w:tc>
        <w:tc>
          <w:tcPr>
            <w:tcW w:w="5400" w:type="dxa"/>
            <w:tcMar>
              <w:top w:w="0" w:type="dxa"/>
              <w:left w:w="75" w:type="dxa"/>
              <w:bottom w:w="0" w:type="dxa"/>
              <w:right w:w="0" w:type="dxa"/>
            </w:tcMar>
            <w:vAlign w:val="center"/>
            <w:hideMark/>
          </w:tcPr>
          <w:p w:rsidR="00FE1AEB" w:rsidRPr="00FE1AEB" w:rsidRDefault="00FE1AEB" w:rsidP="00FE1AEB">
            <w:pPr>
              <w:widowControl/>
              <w:spacing w:line="300" w:lineRule="atLeast"/>
              <w:jc w:val="left"/>
              <w:rPr>
                <w:rFonts w:ascii="宋体" w:eastAsia="宋体" w:hAnsi="宋体" w:cs="宋体"/>
                <w:kern w:val="0"/>
                <w:sz w:val="18"/>
                <w:szCs w:val="18"/>
              </w:rPr>
            </w:pPr>
            <w:r w:rsidRPr="00FE1AEB">
              <w:rPr>
                <w:rFonts w:ascii="宋体" w:eastAsia="宋体" w:hAnsi="宋体" w:cs="宋体"/>
                <w:kern w:val="0"/>
                <w:sz w:val="18"/>
                <w:szCs w:val="18"/>
              </w:rPr>
              <w:t>科技、教育\教育</w:t>
            </w:r>
          </w:p>
        </w:tc>
      </w:tr>
      <w:tr w:rsidR="00FE1AEB" w:rsidRPr="00FE1AEB" w:rsidTr="00FE1AEB">
        <w:trPr>
          <w:tblCellSpacing w:w="0" w:type="dxa"/>
        </w:trPr>
        <w:tc>
          <w:tcPr>
            <w:tcW w:w="0" w:type="auto"/>
            <w:tcMar>
              <w:top w:w="0" w:type="dxa"/>
              <w:left w:w="75" w:type="dxa"/>
              <w:bottom w:w="0" w:type="dxa"/>
              <w:right w:w="0" w:type="dxa"/>
            </w:tcMar>
            <w:vAlign w:val="center"/>
            <w:hideMark/>
          </w:tcPr>
          <w:p w:rsidR="00FE1AEB" w:rsidRPr="00FE1AEB" w:rsidRDefault="00FE1AEB" w:rsidP="00FE1AEB">
            <w:pPr>
              <w:widowControl/>
              <w:spacing w:line="300" w:lineRule="atLeast"/>
              <w:jc w:val="left"/>
              <w:rPr>
                <w:rFonts w:ascii="宋体" w:eastAsia="宋体" w:hAnsi="宋体" w:cs="宋体"/>
                <w:kern w:val="0"/>
                <w:sz w:val="18"/>
                <w:szCs w:val="18"/>
              </w:rPr>
            </w:pPr>
            <w:r w:rsidRPr="00FE1AEB">
              <w:rPr>
                <w:rFonts w:ascii="宋体" w:eastAsia="宋体" w:hAnsi="宋体" w:cs="宋体"/>
                <w:b/>
                <w:bCs/>
                <w:kern w:val="0"/>
                <w:sz w:val="18"/>
                <w:szCs w:val="18"/>
              </w:rPr>
              <w:t>发文机关：</w:t>
            </w:r>
          </w:p>
        </w:tc>
        <w:tc>
          <w:tcPr>
            <w:tcW w:w="0" w:type="auto"/>
            <w:tcMar>
              <w:top w:w="0" w:type="dxa"/>
              <w:left w:w="75" w:type="dxa"/>
              <w:bottom w:w="0" w:type="dxa"/>
              <w:right w:w="0" w:type="dxa"/>
            </w:tcMar>
            <w:vAlign w:val="center"/>
            <w:hideMark/>
          </w:tcPr>
          <w:p w:rsidR="00FE1AEB" w:rsidRPr="00FE1AEB" w:rsidRDefault="00FE1AEB" w:rsidP="00FE1AEB">
            <w:pPr>
              <w:widowControl/>
              <w:spacing w:line="300" w:lineRule="atLeast"/>
              <w:jc w:val="left"/>
              <w:rPr>
                <w:rFonts w:ascii="宋体" w:eastAsia="宋体" w:hAnsi="宋体" w:cs="宋体"/>
                <w:kern w:val="0"/>
                <w:sz w:val="18"/>
                <w:szCs w:val="18"/>
              </w:rPr>
            </w:pPr>
            <w:r w:rsidRPr="00FE1AEB">
              <w:rPr>
                <w:rFonts w:ascii="宋体" w:eastAsia="宋体" w:hAnsi="宋体" w:cs="宋体"/>
                <w:kern w:val="0"/>
                <w:sz w:val="18"/>
                <w:szCs w:val="18"/>
              </w:rPr>
              <w:t>国务院办公厅</w:t>
            </w:r>
          </w:p>
        </w:tc>
        <w:tc>
          <w:tcPr>
            <w:tcW w:w="0" w:type="auto"/>
            <w:tcMar>
              <w:top w:w="0" w:type="dxa"/>
              <w:left w:w="75" w:type="dxa"/>
              <w:bottom w:w="0" w:type="dxa"/>
              <w:right w:w="0" w:type="dxa"/>
            </w:tcMar>
            <w:vAlign w:val="center"/>
            <w:hideMark/>
          </w:tcPr>
          <w:p w:rsidR="00FE1AEB" w:rsidRPr="00FE1AEB" w:rsidRDefault="00FE1AEB" w:rsidP="00FE1AEB">
            <w:pPr>
              <w:widowControl/>
              <w:spacing w:line="300" w:lineRule="atLeast"/>
              <w:jc w:val="left"/>
              <w:rPr>
                <w:rFonts w:ascii="宋体" w:eastAsia="宋体" w:hAnsi="宋体" w:cs="宋体"/>
                <w:kern w:val="0"/>
                <w:sz w:val="18"/>
                <w:szCs w:val="18"/>
              </w:rPr>
            </w:pPr>
            <w:r w:rsidRPr="00FE1AEB">
              <w:rPr>
                <w:rFonts w:ascii="宋体" w:eastAsia="宋体" w:hAnsi="宋体" w:cs="宋体"/>
                <w:b/>
                <w:bCs/>
                <w:kern w:val="0"/>
                <w:sz w:val="18"/>
                <w:szCs w:val="18"/>
              </w:rPr>
              <w:t>成文日期：</w:t>
            </w:r>
          </w:p>
        </w:tc>
        <w:tc>
          <w:tcPr>
            <w:tcW w:w="0" w:type="auto"/>
            <w:tcMar>
              <w:top w:w="0" w:type="dxa"/>
              <w:left w:w="75" w:type="dxa"/>
              <w:bottom w:w="0" w:type="dxa"/>
              <w:right w:w="0" w:type="dxa"/>
            </w:tcMar>
            <w:vAlign w:val="center"/>
            <w:hideMark/>
          </w:tcPr>
          <w:p w:rsidR="00FE1AEB" w:rsidRPr="00FE1AEB" w:rsidRDefault="00FE1AEB" w:rsidP="00FE1AEB">
            <w:pPr>
              <w:widowControl/>
              <w:spacing w:line="300" w:lineRule="atLeast"/>
              <w:jc w:val="left"/>
              <w:rPr>
                <w:rFonts w:ascii="宋体" w:eastAsia="宋体" w:hAnsi="宋体" w:cs="宋体"/>
                <w:kern w:val="0"/>
                <w:sz w:val="18"/>
                <w:szCs w:val="18"/>
              </w:rPr>
            </w:pPr>
            <w:r w:rsidRPr="00FE1AEB">
              <w:rPr>
                <w:rFonts w:ascii="宋体" w:eastAsia="宋体" w:hAnsi="宋体" w:cs="宋体"/>
                <w:kern w:val="0"/>
                <w:sz w:val="18"/>
                <w:szCs w:val="18"/>
              </w:rPr>
              <w:t>2016年10月05日</w:t>
            </w:r>
          </w:p>
        </w:tc>
      </w:tr>
      <w:tr w:rsidR="00FE1AEB" w:rsidRPr="00FE1AEB" w:rsidTr="00FE1AEB">
        <w:trPr>
          <w:tblCellSpacing w:w="0" w:type="dxa"/>
        </w:trPr>
        <w:tc>
          <w:tcPr>
            <w:tcW w:w="0" w:type="auto"/>
            <w:tcMar>
              <w:top w:w="0" w:type="dxa"/>
              <w:left w:w="75" w:type="dxa"/>
              <w:bottom w:w="0" w:type="dxa"/>
              <w:right w:w="0" w:type="dxa"/>
            </w:tcMar>
            <w:vAlign w:val="center"/>
            <w:hideMark/>
          </w:tcPr>
          <w:p w:rsidR="00FE1AEB" w:rsidRPr="00FE1AEB" w:rsidRDefault="00FE1AEB" w:rsidP="00FE1AEB">
            <w:pPr>
              <w:widowControl/>
              <w:spacing w:line="300" w:lineRule="atLeast"/>
              <w:jc w:val="left"/>
              <w:rPr>
                <w:rFonts w:ascii="宋体" w:eastAsia="宋体" w:hAnsi="宋体" w:cs="宋体"/>
                <w:kern w:val="0"/>
                <w:sz w:val="18"/>
                <w:szCs w:val="18"/>
              </w:rPr>
            </w:pPr>
            <w:proofErr w:type="gramStart"/>
            <w:r w:rsidRPr="00FE1AEB">
              <w:rPr>
                <w:rFonts w:ascii="宋体" w:eastAsia="宋体" w:hAnsi="宋体" w:cs="宋体"/>
                <w:b/>
                <w:bCs/>
                <w:kern w:val="0"/>
                <w:sz w:val="18"/>
                <w:szCs w:val="18"/>
              </w:rPr>
              <w:t xml:space="preserve">标　　</w:t>
            </w:r>
            <w:proofErr w:type="gramEnd"/>
            <w:r w:rsidRPr="00FE1AEB">
              <w:rPr>
                <w:rFonts w:ascii="宋体" w:eastAsia="宋体" w:hAnsi="宋体" w:cs="宋体"/>
                <w:b/>
                <w:bCs/>
                <w:kern w:val="0"/>
                <w:sz w:val="18"/>
                <w:szCs w:val="18"/>
              </w:rPr>
              <w:t>题：</w:t>
            </w:r>
          </w:p>
        </w:tc>
        <w:tc>
          <w:tcPr>
            <w:tcW w:w="0" w:type="auto"/>
            <w:gridSpan w:val="3"/>
            <w:tcMar>
              <w:top w:w="0" w:type="dxa"/>
              <w:left w:w="75" w:type="dxa"/>
              <w:bottom w:w="0" w:type="dxa"/>
              <w:right w:w="0" w:type="dxa"/>
            </w:tcMar>
            <w:vAlign w:val="center"/>
            <w:hideMark/>
          </w:tcPr>
          <w:p w:rsidR="00FE1AEB" w:rsidRPr="00FE1AEB" w:rsidRDefault="00FE1AEB" w:rsidP="00FE1AEB">
            <w:pPr>
              <w:widowControl/>
              <w:spacing w:line="300" w:lineRule="atLeast"/>
              <w:jc w:val="left"/>
              <w:rPr>
                <w:rFonts w:ascii="宋体" w:eastAsia="宋体" w:hAnsi="宋体" w:cs="宋体"/>
                <w:kern w:val="0"/>
                <w:sz w:val="18"/>
                <w:szCs w:val="18"/>
              </w:rPr>
            </w:pPr>
            <w:r w:rsidRPr="00FE1AEB">
              <w:rPr>
                <w:rFonts w:ascii="宋体" w:eastAsia="宋体" w:hAnsi="宋体" w:cs="宋体"/>
                <w:kern w:val="0"/>
                <w:sz w:val="18"/>
                <w:szCs w:val="18"/>
              </w:rPr>
              <w:t>国务院办公厅关于印发老年教育发展规划（2016—2020年）的通知</w:t>
            </w:r>
          </w:p>
        </w:tc>
      </w:tr>
      <w:tr w:rsidR="00FE1AEB" w:rsidRPr="00FE1AEB" w:rsidTr="00FE1AEB">
        <w:trPr>
          <w:tblCellSpacing w:w="0" w:type="dxa"/>
        </w:trPr>
        <w:tc>
          <w:tcPr>
            <w:tcW w:w="0" w:type="auto"/>
            <w:tcMar>
              <w:top w:w="0" w:type="dxa"/>
              <w:left w:w="75" w:type="dxa"/>
              <w:bottom w:w="0" w:type="dxa"/>
              <w:right w:w="0" w:type="dxa"/>
            </w:tcMar>
            <w:vAlign w:val="center"/>
            <w:hideMark/>
          </w:tcPr>
          <w:p w:rsidR="00FE1AEB" w:rsidRPr="00FE1AEB" w:rsidRDefault="00FE1AEB" w:rsidP="00FE1AEB">
            <w:pPr>
              <w:widowControl/>
              <w:spacing w:line="300" w:lineRule="atLeast"/>
              <w:jc w:val="left"/>
              <w:rPr>
                <w:rFonts w:ascii="宋体" w:eastAsia="宋体" w:hAnsi="宋体" w:cs="宋体"/>
                <w:kern w:val="0"/>
                <w:sz w:val="18"/>
                <w:szCs w:val="18"/>
              </w:rPr>
            </w:pPr>
            <w:r w:rsidRPr="00FE1AEB">
              <w:rPr>
                <w:rFonts w:ascii="宋体" w:eastAsia="宋体" w:hAnsi="宋体" w:cs="宋体"/>
                <w:b/>
                <w:bCs/>
                <w:kern w:val="0"/>
                <w:sz w:val="18"/>
                <w:szCs w:val="18"/>
              </w:rPr>
              <w:t>发文字号：</w:t>
            </w:r>
          </w:p>
        </w:tc>
        <w:tc>
          <w:tcPr>
            <w:tcW w:w="0" w:type="auto"/>
            <w:tcMar>
              <w:top w:w="0" w:type="dxa"/>
              <w:left w:w="75" w:type="dxa"/>
              <w:bottom w:w="0" w:type="dxa"/>
              <w:right w:w="0" w:type="dxa"/>
            </w:tcMar>
            <w:vAlign w:val="center"/>
            <w:hideMark/>
          </w:tcPr>
          <w:p w:rsidR="00FE1AEB" w:rsidRPr="00FE1AEB" w:rsidRDefault="00FE1AEB" w:rsidP="00FE1AEB">
            <w:pPr>
              <w:widowControl/>
              <w:spacing w:line="300" w:lineRule="atLeast"/>
              <w:jc w:val="left"/>
              <w:rPr>
                <w:rFonts w:ascii="宋体" w:eastAsia="宋体" w:hAnsi="宋体" w:cs="宋体"/>
                <w:kern w:val="0"/>
                <w:sz w:val="18"/>
                <w:szCs w:val="18"/>
              </w:rPr>
            </w:pPr>
            <w:r w:rsidRPr="00FE1AEB">
              <w:rPr>
                <w:rFonts w:ascii="宋体" w:eastAsia="宋体" w:hAnsi="宋体" w:cs="宋体"/>
                <w:kern w:val="0"/>
                <w:sz w:val="18"/>
                <w:szCs w:val="18"/>
              </w:rPr>
              <w:t>国办发〔2016〕74号</w:t>
            </w:r>
          </w:p>
        </w:tc>
        <w:tc>
          <w:tcPr>
            <w:tcW w:w="0" w:type="auto"/>
            <w:tcMar>
              <w:top w:w="0" w:type="dxa"/>
              <w:left w:w="75" w:type="dxa"/>
              <w:bottom w:w="0" w:type="dxa"/>
              <w:right w:w="0" w:type="dxa"/>
            </w:tcMar>
            <w:vAlign w:val="center"/>
            <w:hideMark/>
          </w:tcPr>
          <w:p w:rsidR="00FE1AEB" w:rsidRPr="00FE1AEB" w:rsidRDefault="00FE1AEB" w:rsidP="00FE1AEB">
            <w:pPr>
              <w:widowControl/>
              <w:spacing w:line="300" w:lineRule="atLeast"/>
              <w:jc w:val="left"/>
              <w:rPr>
                <w:rFonts w:ascii="宋体" w:eastAsia="宋体" w:hAnsi="宋体" w:cs="宋体"/>
                <w:kern w:val="0"/>
                <w:sz w:val="18"/>
                <w:szCs w:val="18"/>
              </w:rPr>
            </w:pPr>
            <w:r w:rsidRPr="00FE1AEB">
              <w:rPr>
                <w:rFonts w:ascii="宋体" w:eastAsia="宋体" w:hAnsi="宋体" w:cs="宋体"/>
                <w:b/>
                <w:bCs/>
                <w:kern w:val="0"/>
                <w:sz w:val="18"/>
                <w:szCs w:val="18"/>
              </w:rPr>
              <w:t>发布日期：</w:t>
            </w:r>
          </w:p>
        </w:tc>
        <w:tc>
          <w:tcPr>
            <w:tcW w:w="0" w:type="auto"/>
            <w:tcMar>
              <w:top w:w="0" w:type="dxa"/>
              <w:left w:w="75" w:type="dxa"/>
              <w:bottom w:w="0" w:type="dxa"/>
              <w:right w:w="0" w:type="dxa"/>
            </w:tcMar>
            <w:vAlign w:val="center"/>
            <w:hideMark/>
          </w:tcPr>
          <w:p w:rsidR="00FE1AEB" w:rsidRPr="00FE1AEB" w:rsidRDefault="00FE1AEB" w:rsidP="00FE1AEB">
            <w:pPr>
              <w:widowControl/>
              <w:spacing w:line="300" w:lineRule="atLeast"/>
              <w:jc w:val="left"/>
              <w:rPr>
                <w:rFonts w:ascii="宋体" w:eastAsia="宋体" w:hAnsi="宋体" w:cs="宋体"/>
                <w:kern w:val="0"/>
                <w:sz w:val="18"/>
                <w:szCs w:val="18"/>
              </w:rPr>
            </w:pPr>
            <w:r w:rsidRPr="00FE1AEB">
              <w:rPr>
                <w:rFonts w:ascii="宋体" w:eastAsia="宋体" w:hAnsi="宋体" w:cs="宋体"/>
                <w:kern w:val="0"/>
                <w:sz w:val="18"/>
                <w:szCs w:val="18"/>
              </w:rPr>
              <w:t>2016年10月19日</w:t>
            </w:r>
          </w:p>
        </w:tc>
      </w:tr>
    </w:tbl>
    <w:p w:rsidR="00FE1AEB" w:rsidRPr="00FE1AEB" w:rsidRDefault="00FE1AEB" w:rsidP="00FE1AEB">
      <w:pPr>
        <w:widowControl/>
        <w:jc w:val="left"/>
        <w:rPr>
          <w:rFonts w:ascii="宋体" w:eastAsia="宋体" w:hAnsi="宋体" w:cs="宋体"/>
          <w:vanish/>
          <w:kern w:val="0"/>
          <w:sz w:val="24"/>
          <w:szCs w:val="24"/>
        </w:rPr>
      </w:pPr>
    </w:p>
    <w:tbl>
      <w:tblPr>
        <w:tblW w:w="12900" w:type="dxa"/>
        <w:tblCellSpacing w:w="0" w:type="dxa"/>
        <w:tblCellMar>
          <w:left w:w="0" w:type="dxa"/>
          <w:right w:w="0" w:type="dxa"/>
        </w:tblCellMar>
        <w:tblLook w:val="04A0" w:firstRow="1" w:lastRow="0" w:firstColumn="1" w:lastColumn="0" w:noHBand="0" w:noVBand="1"/>
      </w:tblPr>
      <w:tblGrid>
        <w:gridCol w:w="12900"/>
      </w:tblGrid>
      <w:tr w:rsidR="00FE1AEB" w:rsidRPr="00FE1AEB" w:rsidTr="00FE1AEB">
        <w:trPr>
          <w:tblCellSpacing w:w="0" w:type="dxa"/>
        </w:trPr>
        <w:tc>
          <w:tcPr>
            <w:tcW w:w="1050" w:type="dxa"/>
            <w:shd w:val="clear" w:color="auto" w:fill="FFFFFF"/>
            <w:tcMar>
              <w:top w:w="0" w:type="dxa"/>
              <w:left w:w="75" w:type="dxa"/>
              <w:bottom w:w="0" w:type="dxa"/>
              <w:right w:w="0" w:type="dxa"/>
            </w:tcMar>
            <w:hideMark/>
          </w:tcPr>
          <w:p w:rsidR="00FE1AEB" w:rsidRPr="00FE1AEB" w:rsidRDefault="00FE1AEB" w:rsidP="00FE1AEB">
            <w:pPr>
              <w:widowControl/>
              <w:spacing w:line="300" w:lineRule="atLeast"/>
              <w:jc w:val="left"/>
              <w:rPr>
                <w:rFonts w:ascii="宋体" w:eastAsia="宋体" w:hAnsi="宋体" w:cs="宋体"/>
                <w:color w:val="333333"/>
                <w:kern w:val="0"/>
                <w:sz w:val="18"/>
                <w:szCs w:val="18"/>
              </w:rPr>
            </w:pPr>
            <w:r w:rsidRPr="00FE1AEB">
              <w:rPr>
                <w:rFonts w:ascii="宋体" w:eastAsia="宋体" w:hAnsi="宋体" w:cs="宋体" w:hint="eastAsia"/>
                <w:b/>
                <w:bCs/>
                <w:color w:val="333333"/>
                <w:kern w:val="0"/>
                <w:sz w:val="18"/>
                <w:szCs w:val="18"/>
              </w:rPr>
              <w:t>主 题 词：</w:t>
            </w:r>
            <w:r w:rsidRPr="00FE1AEB">
              <w:rPr>
                <w:rFonts w:ascii="宋体" w:eastAsia="宋体" w:hAnsi="宋体" w:cs="宋体"/>
                <w:kern w:val="0"/>
                <w:sz w:val="18"/>
                <w:szCs w:val="18"/>
              </w:rPr>
              <w:br/>
            </w:r>
          </w:p>
        </w:tc>
      </w:tr>
    </w:tbl>
    <w:p w:rsidR="004576B2" w:rsidRPr="004576B2" w:rsidRDefault="004576B2" w:rsidP="004576B2">
      <w:pPr>
        <w:widowControl/>
        <w:jc w:val="left"/>
        <w:rPr>
          <w:rFonts w:ascii="宋体" w:eastAsia="宋体" w:hAnsi="宋体" w:cs="宋体"/>
          <w:kern w:val="0"/>
          <w:sz w:val="24"/>
          <w:szCs w:val="24"/>
        </w:rPr>
      </w:pPr>
    </w:p>
    <w:tbl>
      <w:tblPr>
        <w:tblW w:w="9750" w:type="dxa"/>
        <w:tblCellSpacing w:w="0" w:type="dxa"/>
        <w:shd w:val="clear" w:color="auto" w:fill="FFFFFF"/>
        <w:tblCellMar>
          <w:left w:w="0" w:type="dxa"/>
          <w:right w:w="0" w:type="dxa"/>
        </w:tblCellMar>
        <w:tblLook w:val="04A0" w:firstRow="1" w:lastRow="0" w:firstColumn="1" w:lastColumn="0" w:noHBand="0" w:noVBand="1"/>
      </w:tblPr>
      <w:tblGrid>
        <w:gridCol w:w="9750"/>
      </w:tblGrid>
      <w:tr w:rsidR="004576B2" w:rsidRPr="004576B2" w:rsidTr="004576B2">
        <w:trPr>
          <w:tblCellSpacing w:w="0" w:type="dxa"/>
        </w:trPr>
        <w:tc>
          <w:tcPr>
            <w:tcW w:w="0" w:type="auto"/>
            <w:shd w:val="clear" w:color="auto" w:fill="FFFFFF"/>
            <w:vAlign w:val="center"/>
            <w:hideMark/>
          </w:tcPr>
          <w:p w:rsidR="004576B2" w:rsidRPr="004576B2" w:rsidRDefault="004576B2" w:rsidP="004576B2">
            <w:pPr>
              <w:widowControl/>
              <w:spacing w:line="432" w:lineRule="atLeast"/>
              <w:jc w:val="center"/>
              <w:rPr>
                <w:rFonts w:ascii="宋体" w:eastAsia="宋体" w:hAnsi="宋体" w:cs="宋体"/>
                <w:color w:val="333333"/>
                <w:kern w:val="0"/>
                <w:sz w:val="24"/>
                <w:szCs w:val="24"/>
              </w:rPr>
            </w:pPr>
            <w:r w:rsidRPr="004576B2">
              <w:rPr>
                <w:rFonts w:ascii="宋体" w:eastAsia="宋体" w:hAnsi="宋体" w:cs="宋体" w:hint="eastAsia"/>
                <w:b/>
                <w:bCs/>
                <w:color w:val="333333"/>
                <w:kern w:val="0"/>
                <w:sz w:val="36"/>
                <w:szCs w:val="36"/>
              </w:rPr>
              <w:t>国务院办公厅关于印发老年教育</w:t>
            </w:r>
          </w:p>
          <w:p w:rsidR="004576B2" w:rsidRPr="004576B2" w:rsidRDefault="004576B2" w:rsidP="004576B2">
            <w:pPr>
              <w:widowControl/>
              <w:spacing w:line="432" w:lineRule="atLeast"/>
              <w:jc w:val="center"/>
              <w:rPr>
                <w:rFonts w:ascii="宋体" w:eastAsia="宋体" w:hAnsi="宋体" w:cs="宋体"/>
                <w:color w:val="333333"/>
                <w:kern w:val="0"/>
                <w:sz w:val="24"/>
                <w:szCs w:val="24"/>
              </w:rPr>
            </w:pPr>
            <w:r w:rsidRPr="004576B2">
              <w:rPr>
                <w:rFonts w:ascii="宋体" w:eastAsia="宋体" w:hAnsi="宋体" w:cs="宋体" w:hint="eastAsia"/>
                <w:b/>
                <w:bCs/>
                <w:color w:val="333333"/>
                <w:kern w:val="0"/>
                <w:sz w:val="36"/>
                <w:szCs w:val="36"/>
              </w:rPr>
              <w:t>发展规划（2016—2020年）的通知</w:t>
            </w:r>
            <w:r w:rsidRPr="004576B2">
              <w:rPr>
                <w:rFonts w:ascii="宋体" w:eastAsia="宋体" w:hAnsi="宋体" w:cs="宋体" w:hint="eastAsia"/>
                <w:color w:val="333333"/>
                <w:kern w:val="0"/>
                <w:sz w:val="24"/>
                <w:szCs w:val="24"/>
              </w:rPr>
              <w:br/>
            </w:r>
            <w:r w:rsidRPr="004576B2">
              <w:rPr>
                <w:rFonts w:ascii="楷体" w:eastAsia="楷体" w:hAnsi="楷体" w:cs="宋体" w:hint="eastAsia"/>
                <w:color w:val="333333"/>
                <w:kern w:val="0"/>
                <w:sz w:val="24"/>
                <w:szCs w:val="24"/>
              </w:rPr>
              <w:t>国办发〔2016〕74号</w:t>
            </w:r>
          </w:p>
          <w:p w:rsidR="004576B2" w:rsidRPr="004576B2" w:rsidRDefault="004576B2" w:rsidP="004576B2">
            <w:pPr>
              <w:widowControl/>
              <w:spacing w:line="0" w:lineRule="auto"/>
              <w:rPr>
                <w:rFonts w:ascii="宋体" w:eastAsia="宋体" w:hAnsi="宋体" w:cs="宋体"/>
                <w:color w:val="333333"/>
                <w:kern w:val="0"/>
                <w:sz w:val="24"/>
                <w:szCs w:val="24"/>
              </w:rPr>
            </w:pPr>
          </w:p>
          <w:p w:rsidR="004576B2" w:rsidRPr="004576B2" w:rsidRDefault="004576B2" w:rsidP="004576B2">
            <w:pPr>
              <w:widowControl/>
              <w:spacing w:line="432" w:lineRule="atLeast"/>
              <w:rPr>
                <w:rFonts w:ascii="宋体" w:eastAsia="宋体" w:hAnsi="宋体" w:cs="宋体"/>
                <w:color w:val="333333"/>
                <w:kern w:val="0"/>
                <w:sz w:val="24"/>
                <w:szCs w:val="24"/>
              </w:rPr>
            </w:pPr>
            <w:r w:rsidRPr="004576B2">
              <w:rPr>
                <w:rFonts w:ascii="宋体" w:eastAsia="宋体" w:hAnsi="宋体" w:cs="宋体" w:hint="eastAsia"/>
                <w:color w:val="333333"/>
                <w:kern w:val="0"/>
                <w:sz w:val="24"/>
                <w:szCs w:val="24"/>
              </w:rPr>
              <w:t>各省、自治区、直辖市人民政府，国务院各部委、各直属机构：</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宋体" w:eastAsia="宋体" w:hAnsi="宋体" w:cs="宋体" w:hint="eastAsia"/>
                <w:color w:val="333333"/>
                <w:kern w:val="0"/>
                <w:sz w:val="24"/>
                <w:szCs w:val="24"/>
              </w:rPr>
              <w:t>《老年教育发展规划（2016—2020年）》已经国务院同意，现印发给你们，请结合实际认真贯彻执行。</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宋体" w:eastAsia="宋体" w:hAnsi="宋体" w:cs="宋体" w:hint="eastAsia"/>
                <w:color w:val="333333"/>
                <w:kern w:val="0"/>
                <w:sz w:val="24"/>
                <w:szCs w:val="24"/>
              </w:rPr>
              <w:t xml:space="preserve">　　　　　　　　　　　　　　　　　　　　　　　　　　　国务院办公厅</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宋体" w:eastAsia="宋体" w:hAnsi="宋体" w:cs="宋体" w:hint="eastAsia"/>
                <w:color w:val="333333"/>
                <w:kern w:val="0"/>
                <w:sz w:val="24"/>
                <w:szCs w:val="24"/>
              </w:rPr>
              <w:t xml:space="preserve">　　　　　　　　　　　　　　　　　　　　　　　　　　　2016年10月5日</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宋体" w:eastAsia="宋体" w:hAnsi="宋体" w:cs="宋体" w:hint="eastAsia"/>
                <w:color w:val="333333"/>
                <w:kern w:val="0"/>
                <w:sz w:val="24"/>
                <w:szCs w:val="24"/>
              </w:rPr>
              <w:t>（此件公开发布）</w:t>
            </w:r>
          </w:p>
          <w:p w:rsidR="004576B2" w:rsidRPr="004576B2" w:rsidRDefault="004576B2" w:rsidP="004576B2">
            <w:pPr>
              <w:widowControl/>
              <w:spacing w:line="0" w:lineRule="auto"/>
              <w:ind w:firstLine="480"/>
              <w:rPr>
                <w:rFonts w:ascii="宋体" w:eastAsia="宋体" w:hAnsi="宋体" w:cs="宋体"/>
                <w:color w:val="333333"/>
                <w:kern w:val="0"/>
                <w:sz w:val="24"/>
                <w:szCs w:val="24"/>
              </w:rPr>
            </w:pPr>
          </w:p>
          <w:p w:rsidR="004576B2" w:rsidRPr="004576B2" w:rsidRDefault="004576B2" w:rsidP="004576B2">
            <w:pPr>
              <w:widowControl/>
              <w:spacing w:line="432" w:lineRule="atLeast"/>
              <w:jc w:val="center"/>
              <w:rPr>
                <w:rFonts w:ascii="宋体" w:eastAsia="宋体" w:hAnsi="宋体" w:cs="宋体"/>
                <w:color w:val="333333"/>
                <w:kern w:val="0"/>
                <w:sz w:val="24"/>
                <w:szCs w:val="24"/>
              </w:rPr>
            </w:pPr>
            <w:r w:rsidRPr="004576B2">
              <w:rPr>
                <w:rFonts w:ascii="宋体" w:eastAsia="宋体" w:hAnsi="宋体" w:cs="宋体" w:hint="eastAsia"/>
                <w:b/>
                <w:bCs/>
                <w:color w:val="333333"/>
                <w:kern w:val="0"/>
                <w:sz w:val="36"/>
                <w:szCs w:val="36"/>
              </w:rPr>
              <w:t>老年教育发展规划（2016—2020年）</w:t>
            </w:r>
          </w:p>
          <w:p w:rsidR="004576B2" w:rsidRPr="004576B2" w:rsidRDefault="004576B2" w:rsidP="004576B2">
            <w:pPr>
              <w:widowControl/>
              <w:spacing w:line="0" w:lineRule="auto"/>
              <w:ind w:firstLine="480"/>
              <w:rPr>
                <w:rFonts w:ascii="宋体" w:eastAsia="宋体" w:hAnsi="宋体" w:cs="宋体"/>
                <w:color w:val="333333"/>
                <w:kern w:val="0"/>
                <w:sz w:val="24"/>
                <w:szCs w:val="24"/>
              </w:rPr>
            </w:pP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宋体" w:eastAsia="宋体" w:hAnsi="宋体" w:cs="宋体" w:hint="eastAsia"/>
                <w:color w:val="333333"/>
                <w:kern w:val="0"/>
                <w:sz w:val="24"/>
                <w:szCs w:val="24"/>
              </w:rPr>
              <w:t>老年人是国家和社会的宝贵财富。老年教育是我国教育事业和老龄事业的重要组成部分。发展老年教育，是积极应对人口老龄化、实现教育现代化、建设学习型社会的重要举措，是满足老年人多样化学习需求、提升老年人生活品质、促进社会和谐的必然要求。为贯彻落实《中华人民共和国老年人权益保障法》、《国家中长期教育改革和发展规划纲要（2010—2020年）》，促进老年教育事业科学发展，制定本规划。</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宋体" w:eastAsia="宋体" w:hAnsi="宋体" w:cs="宋体" w:hint="eastAsia"/>
                <w:b/>
                <w:bCs/>
                <w:color w:val="333333"/>
                <w:kern w:val="0"/>
                <w:sz w:val="24"/>
                <w:szCs w:val="24"/>
              </w:rPr>
              <w:t>一、规划背景</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宋体" w:eastAsia="宋体" w:hAnsi="宋体" w:cs="宋体" w:hint="eastAsia"/>
                <w:color w:val="333333"/>
                <w:kern w:val="0"/>
                <w:sz w:val="24"/>
                <w:szCs w:val="24"/>
              </w:rPr>
              <w:t>当前我国已进入老龄化社会，2015年底我国60岁以上老年人口已经达到2.22亿，占总人口的16.1%，预计2020年老年人口将达到2.43亿，未来20年我国人口老龄化形势将更加严峻，“未富先老”的特征日益凸显，对我国社会主义现代化进程产生全面而深远影响，特别是老年人的精神文化和学习需求增长较快，发展老年教育的形势和任务更加紧迫。</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宋体" w:eastAsia="宋体" w:hAnsi="宋体" w:cs="宋体" w:hint="eastAsia"/>
                <w:color w:val="333333"/>
                <w:kern w:val="0"/>
                <w:sz w:val="24"/>
                <w:szCs w:val="24"/>
              </w:rPr>
              <w:t>世界上较早进入老龄化社会的国家和地区普遍出台终身教育、老年教育领域法律法规，并将老年教育政策作为重要的社会政策。许多国家通过兴办第三年龄大学、推动社区老年人互助学习、倡导老年人利用网络自主学习等多种形式发展老年教育。</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宋体" w:eastAsia="宋体" w:hAnsi="宋体" w:cs="宋体" w:hint="eastAsia"/>
                <w:color w:val="333333"/>
                <w:kern w:val="0"/>
                <w:sz w:val="24"/>
                <w:szCs w:val="24"/>
              </w:rPr>
              <w:t>党和国家高度重视老龄工作，积极推动老年教育事业发展。目前有700多万老年人在老年大学等机构学习，有上千万老年人通过社区教育、远程教育等各种形式参与学习，初步形成了</w:t>
            </w:r>
            <w:r w:rsidRPr="004576B2">
              <w:rPr>
                <w:rFonts w:ascii="宋体" w:eastAsia="宋体" w:hAnsi="宋体" w:cs="宋体" w:hint="eastAsia"/>
                <w:color w:val="333333"/>
                <w:kern w:val="0"/>
                <w:sz w:val="24"/>
                <w:szCs w:val="24"/>
              </w:rPr>
              <w:lastRenderedPageBreak/>
              <w:t>多部门推动、多形式办学的老年教育发展格局。同时必须清醒地看到，我国老年教育还存在资源供给不足，城乡、区域间发展不平衡，保障机制不够健全，部门协调亟待加强，社会力量参与的深度和广度需进一步拓展等问题。解决这些问题，推动老年教育持续健康发展，是当前和今后一个时期积极应对人口老龄化、大力发展老龄服务事业和产业的迫切任务。</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宋体" w:eastAsia="宋体" w:hAnsi="宋体" w:cs="宋体" w:hint="eastAsia"/>
                <w:b/>
                <w:bCs/>
                <w:color w:val="333333"/>
                <w:kern w:val="0"/>
                <w:sz w:val="24"/>
                <w:szCs w:val="24"/>
              </w:rPr>
              <w:t>二、总体要求</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（一）指导思想。</w:t>
            </w:r>
            <w:r w:rsidRPr="004576B2">
              <w:rPr>
                <w:rFonts w:ascii="宋体" w:eastAsia="宋体" w:hAnsi="宋体" w:cs="宋体" w:hint="eastAsia"/>
                <w:color w:val="333333"/>
                <w:kern w:val="0"/>
                <w:sz w:val="24"/>
                <w:szCs w:val="24"/>
              </w:rPr>
              <w:t>全面贯彻党的十八大及十八届三中、四中、五中全会精神和习近平总书记系列重要讲话精神，落实党中央、国务院决策部署，按照“五位一体”总体布局和“四个全面”战略布局，牢固树立和贯彻落实创新、协调、绿色、开放、共享的新发展理念，坚持“党委领导、政府主导、社会参与、全民行动”的老龄工作方针，以扩大老年教育供给为重点，以创新老年教育体制机制为关键，以提高老年人的生命和生活质量为目的，整合社会资源、激发社会活力，提升老年教育现代化水平，让老年人共享改革发展成果，进一步实现老有所教、老有所学、老有所为、老有所乐，努力形成具有中国特色的老年教育发展新格局。</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（二）基本原则。</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保障权益、机会均等。</w:t>
            </w:r>
            <w:r w:rsidRPr="004576B2">
              <w:rPr>
                <w:rFonts w:ascii="宋体" w:eastAsia="宋体" w:hAnsi="宋体" w:cs="宋体" w:hint="eastAsia"/>
                <w:color w:val="333333"/>
                <w:kern w:val="0"/>
                <w:sz w:val="24"/>
                <w:szCs w:val="24"/>
              </w:rPr>
              <w:t>保障老年人受教育权利，努力让不同年龄层次、文化程度、收入水平、健康状况的老年人均有接受教育的机会。充分利用各种资源，统筹加强组织管理，实现资源共享和协调发展，提高老年教育的可及性，最大限度满足各类老年群体学习需求。</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政府主导、市场调节。</w:t>
            </w:r>
            <w:r w:rsidRPr="004576B2">
              <w:rPr>
                <w:rFonts w:ascii="宋体" w:eastAsia="宋体" w:hAnsi="宋体" w:cs="宋体" w:hint="eastAsia"/>
                <w:color w:val="333333"/>
                <w:kern w:val="0"/>
                <w:sz w:val="24"/>
                <w:szCs w:val="24"/>
              </w:rPr>
              <w:t>发挥政府在制定规划、营造环境、加大投入等方面的作用，统筹协调各部门老年教育工作。激发社会活力，继续探索和完善政府购买服务机制，引导社会力量积极参与，带动相关产业发展。</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优化布局、面向基层。</w:t>
            </w:r>
            <w:r w:rsidRPr="004576B2">
              <w:rPr>
                <w:rFonts w:ascii="宋体" w:eastAsia="宋体" w:hAnsi="宋体" w:cs="宋体" w:hint="eastAsia"/>
                <w:color w:val="333333"/>
                <w:kern w:val="0"/>
                <w:sz w:val="24"/>
                <w:szCs w:val="24"/>
              </w:rPr>
              <w:t>在办好现有老年教育的基础上，将老年教育的增量重点放在基层和农村，形成以基层需求为导向的老年教育供给结构，优化城乡老年教育布局，促进老年教育与经济社会协调发展。</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开放便利、灵活多样。</w:t>
            </w:r>
            <w:r w:rsidRPr="004576B2">
              <w:rPr>
                <w:rFonts w:ascii="宋体" w:eastAsia="宋体" w:hAnsi="宋体" w:cs="宋体" w:hint="eastAsia"/>
                <w:color w:val="333333"/>
                <w:kern w:val="0"/>
                <w:sz w:val="24"/>
                <w:szCs w:val="24"/>
              </w:rPr>
              <w:t>促进各类教育机构开放，运用互联网等科技手段开展老年教育，为全体老年人创造学习条件、提供学习机会、做好学习服务。</w:t>
            </w:r>
            <w:proofErr w:type="gramStart"/>
            <w:r w:rsidRPr="004576B2">
              <w:rPr>
                <w:rFonts w:ascii="宋体" w:eastAsia="宋体" w:hAnsi="宋体" w:cs="宋体" w:hint="eastAsia"/>
                <w:color w:val="333333"/>
                <w:kern w:val="0"/>
                <w:sz w:val="24"/>
                <w:szCs w:val="24"/>
              </w:rPr>
              <w:t>畅通学习</w:t>
            </w:r>
            <w:proofErr w:type="gramEnd"/>
            <w:r w:rsidRPr="004576B2">
              <w:rPr>
                <w:rFonts w:ascii="宋体" w:eastAsia="宋体" w:hAnsi="宋体" w:cs="宋体" w:hint="eastAsia"/>
                <w:color w:val="333333"/>
                <w:kern w:val="0"/>
                <w:sz w:val="24"/>
                <w:szCs w:val="24"/>
              </w:rPr>
              <w:t>渠道，方便就近学习，办好家门口的老年教育。</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因地制宜、特色发展。</w:t>
            </w:r>
            <w:r w:rsidRPr="004576B2">
              <w:rPr>
                <w:rFonts w:ascii="宋体" w:eastAsia="宋体" w:hAnsi="宋体" w:cs="宋体" w:hint="eastAsia"/>
                <w:color w:val="333333"/>
                <w:kern w:val="0"/>
                <w:sz w:val="24"/>
                <w:szCs w:val="24"/>
              </w:rPr>
              <w:t>从区域发展不平衡的实际和多样化的学习需求出发，因地制宜开展老年教育。鼓励结合当地历史、人文资源和民俗民风等特点，推动老年教育特色发展。</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（三）主要目标。</w:t>
            </w:r>
            <w:r w:rsidRPr="004576B2">
              <w:rPr>
                <w:rFonts w:ascii="宋体" w:eastAsia="宋体" w:hAnsi="宋体" w:cs="宋体" w:hint="eastAsia"/>
                <w:color w:val="333333"/>
                <w:kern w:val="0"/>
                <w:sz w:val="24"/>
                <w:szCs w:val="24"/>
              </w:rPr>
              <w:t>到2020年，基本形成覆盖广泛、灵活多样、特色鲜明、规范有序的老年教育新格局。老年教育法规制度逐步健全，职责明确、主体多元、平等参与、管办分离的管理体制和运行机制得到完善。老年教育基础能力有较大幅度提升，教育内容不断丰富，形式更加多样。各类老年教育机构服务能力进一步提升，全社会关注支持老年教育、参与举办老年教育的积极性显著提高。以各种形式经常性参与教育活动的老年人占老年人口总数的比例达到</w:t>
            </w:r>
            <w:r w:rsidRPr="004576B2">
              <w:rPr>
                <w:rFonts w:ascii="宋体" w:eastAsia="宋体" w:hAnsi="宋体" w:cs="宋体" w:hint="eastAsia"/>
                <w:color w:val="333333"/>
                <w:kern w:val="0"/>
                <w:sz w:val="24"/>
                <w:szCs w:val="24"/>
              </w:rPr>
              <w:lastRenderedPageBreak/>
              <w:t>20%以上。</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宋体" w:eastAsia="宋体" w:hAnsi="宋体" w:cs="宋体" w:hint="eastAsia"/>
                <w:b/>
                <w:bCs/>
                <w:color w:val="333333"/>
                <w:kern w:val="0"/>
                <w:sz w:val="24"/>
                <w:szCs w:val="24"/>
              </w:rPr>
              <w:t>三、主要任务</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（一）扩大老年教育资源供给。</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优先发展城乡社区老年教育。</w:t>
            </w:r>
            <w:r w:rsidRPr="004576B2">
              <w:rPr>
                <w:rFonts w:ascii="宋体" w:eastAsia="宋体" w:hAnsi="宋体" w:cs="宋体" w:hint="eastAsia"/>
                <w:color w:val="333333"/>
                <w:kern w:val="0"/>
                <w:sz w:val="24"/>
                <w:szCs w:val="24"/>
              </w:rPr>
              <w:t>完善基层社区老年教育服务体系，整合利用现有的社区教育机构、县级职教中心、乡镇成人文化技术学校等教育资源，以及群众艺术馆、文化馆、体育场、社区文化活动中心（文化活动室）、社区科普学校等，开展老年教育活动。建立健全“县（市、区）—乡镇（街道）—村（居委会）”三级社区老年教育网络，方便老年人就近学习。发展农村社区老年教育，有效整合乡村教育文化资源，以村民喜爱的形式开展适应农村老年人需求的教育活动。加强对农村散居、独居老人的教育服务。推进城乡老年教育对口支援，鼓励发达地区以建立分校或办学点、选送教师、配送学习资源、提供人员培训等方式，为边远地区和农村社区老年教育提供支援。</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促进各级各类学校开展老年教育。</w:t>
            </w:r>
            <w:r w:rsidRPr="004576B2">
              <w:rPr>
                <w:rFonts w:ascii="宋体" w:eastAsia="宋体" w:hAnsi="宋体" w:cs="宋体" w:hint="eastAsia"/>
                <w:color w:val="333333"/>
                <w:kern w:val="0"/>
                <w:sz w:val="24"/>
                <w:szCs w:val="24"/>
              </w:rPr>
              <w:t>推动各级各类学校向区域内老年人开放场地、图书馆、设施设备等资源，为他们便利化学习提供支持，积极接收有学习需求的老年人入校学习。探索院校利用自身教育资源举办老年教育（学校）的模式。推动普通高校和职业院校面向老年人提供课程资源，特别是艺术类、医药卫生类、师范类院校和开设有养生保健、文化艺术、信息技术、家政服务、社会工作、医疗护理、园艺花卉、传统工艺等专业的职业院校，应结合学校特色开发老年教育课程，为社区、老年教育机构及养老服务机构等积极提供支持服务，共享课程与教学资源。推动开放大学和广播电视大学举办“老年开放大学”或“网上老年大学”，并延伸至乡镇（街道）、城乡社区，建立老年学习网点。</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推动老年大学面向社会办学。</w:t>
            </w:r>
            <w:r w:rsidRPr="004576B2">
              <w:rPr>
                <w:rFonts w:ascii="宋体" w:eastAsia="宋体" w:hAnsi="宋体" w:cs="宋体" w:hint="eastAsia"/>
                <w:color w:val="333333"/>
                <w:kern w:val="0"/>
                <w:sz w:val="24"/>
                <w:szCs w:val="24"/>
              </w:rPr>
              <w:t>部门、行业企业、高校等举办的老年大学要树立新的办学理念，积极创造条件，采取多种形式，提高办学开放度，逐步从服务本单位、本系统离退休职工向服务社会老年人转变。省、市两级老年大学在开展教育教学工作的同时，要在办学模式示范、教学业务指导、课程资源开发等方面对区域内老年教育发挥带动和引领作用，将老年大学集聚的教育资源向基层和社区辐射。加强老年大学与社会教育机构的合作，组建老年教育联盟（集团）。</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（二）拓展老年教育发展路径。</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丰富老年教育内容和形式。</w:t>
            </w:r>
            <w:r w:rsidRPr="004576B2">
              <w:rPr>
                <w:rFonts w:ascii="宋体" w:eastAsia="宋体" w:hAnsi="宋体" w:cs="宋体" w:hint="eastAsia"/>
                <w:color w:val="333333"/>
                <w:kern w:val="0"/>
                <w:sz w:val="24"/>
                <w:szCs w:val="24"/>
              </w:rPr>
              <w:t>积极开展老年人思想道德、科学文化、养生保健、心理健康、职业技能、法律法规、家庭理财、闲暇生活、代际沟通、生命尊严等方面的教育，帮助老年人提高生活品质，实现人生价值。创新教学方法，将课堂学习和各类文化活动相结合，积极探索体验式学习、远程学习、在线学习等模式，引导开展读书、讲座、参观、展演、游学、志愿服务等多种形式的老年教育活动。鼓励老年人自主学习，支持建立不同类型的学习团队。</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探索养教结合新模式。</w:t>
            </w:r>
            <w:r w:rsidRPr="004576B2">
              <w:rPr>
                <w:rFonts w:ascii="宋体" w:eastAsia="宋体" w:hAnsi="宋体" w:cs="宋体" w:hint="eastAsia"/>
                <w:color w:val="333333"/>
                <w:kern w:val="0"/>
                <w:sz w:val="24"/>
                <w:szCs w:val="24"/>
              </w:rPr>
              <w:t>整合利用社区居家养老资源，在社区老年人日间照料中心、托老所</w:t>
            </w:r>
            <w:r w:rsidRPr="004576B2">
              <w:rPr>
                <w:rFonts w:ascii="宋体" w:eastAsia="宋体" w:hAnsi="宋体" w:cs="宋体" w:hint="eastAsia"/>
                <w:color w:val="333333"/>
                <w:kern w:val="0"/>
                <w:sz w:val="24"/>
                <w:szCs w:val="24"/>
              </w:rPr>
              <w:lastRenderedPageBreak/>
              <w:t>等各类社区居家养老场所内，开展形式多样的老年教育。积极探索在老年养护院、城市社会福利院、农村敬老院等养老服务机构中设立固定的学习场所，配备教学设施设备，通过开设课程、举办讲座、展示学习成果等形式，推进养教一体化，推动老年教育融入养老服务体系，丰富住养老人的精神文化生活。关注失能失智及盲聋等特殊老人群体，提供康复教育一体化服务。</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积极开发老年人力资源。</w:t>
            </w:r>
            <w:r w:rsidRPr="004576B2">
              <w:rPr>
                <w:rFonts w:ascii="宋体" w:eastAsia="宋体" w:hAnsi="宋体" w:cs="宋体" w:hint="eastAsia"/>
                <w:color w:val="333333"/>
                <w:kern w:val="0"/>
                <w:sz w:val="24"/>
                <w:szCs w:val="24"/>
              </w:rPr>
              <w:t>用好老年人这一宝贵财富，充分发挥老年人的智力优势、经验优势、技能优势，为其参与经济社会活动搭建平台、提供教育支持。发挥老年人在传承中华优秀传统文化、引导全社会特别是青少年培育和</w:t>
            </w:r>
            <w:proofErr w:type="gramStart"/>
            <w:r w:rsidRPr="004576B2">
              <w:rPr>
                <w:rFonts w:ascii="宋体" w:eastAsia="宋体" w:hAnsi="宋体" w:cs="宋体" w:hint="eastAsia"/>
                <w:color w:val="333333"/>
                <w:kern w:val="0"/>
                <w:sz w:val="24"/>
                <w:szCs w:val="24"/>
              </w:rPr>
              <w:t>践行</w:t>
            </w:r>
            <w:proofErr w:type="gramEnd"/>
            <w:r w:rsidRPr="004576B2">
              <w:rPr>
                <w:rFonts w:ascii="宋体" w:eastAsia="宋体" w:hAnsi="宋体" w:cs="宋体" w:hint="eastAsia"/>
                <w:color w:val="333333"/>
                <w:kern w:val="0"/>
                <w:sz w:val="24"/>
                <w:szCs w:val="24"/>
              </w:rPr>
              <w:t>社会主义核心价值观等方面的积极作用，彰显长者风范。鼓励老年人利用所学所长，在科学普及、环境保护、社区服务、</w:t>
            </w:r>
            <w:proofErr w:type="gramStart"/>
            <w:r w:rsidRPr="004576B2">
              <w:rPr>
                <w:rFonts w:ascii="宋体" w:eastAsia="宋体" w:hAnsi="宋体" w:cs="宋体" w:hint="eastAsia"/>
                <w:color w:val="333333"/>
                <w:kern w:val="0"/>
                <w:sz w:val="24"/>
                <w:szCs w:val="24"/>
              </w:rPr>
              <w:t>治安维稳等</w:t>
            </w:r>
            <w:proofErr w:type="gramEnd"/>
            <w:r w:rsidRPr="004576B2">
              <w:rPr>
                <w:rFonts w:ascii="宋体" w:eastAsia="宋体" w:hAnsi="宋体" w:cs="宋体" w:hint="eastAsia"/>
                <w:color w:val="333333"/>
                <w:kern w:val="0"/>
                <w:sz w:val="24"/>
                <w:szCs w:val="24"/>
              </w:rPr>
              <w:t>方面积极服务社会、奉献社会。</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（三）加强老年教育支持服务。</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运用信息技术服务老年教育。</w:t>
            </w:r>
            <w:r w:rsidRPr="004576B2">
              <w:rPr>
                <w:rFonts w:ascii="宋体" w:eastAsia="宋体" w:hAnsi="宋体" w:cs="宋体" w:hint="eastAsia"/>
                <w:color w:val="333333"/>
                <w:kern w:val="0"/>
                <w:sz w:val="24"/>
                <w:szCs w:val="24"/>
              </w:rPr>
              <w:t>加强数字化学习资源跨区域、跨部门共建共享，开展对现有老年教育课程的数字化改造，开发适合老年人远程学习的数字化资源。通过互联网、数字电视等渠道，加强优质老年学习资源对农村、边远、贫困、民族地区的辐射。推动信息技术融入老年教育教学全过程，推进线上线下一体化教学，支持老年人网上学习。运用信息化手段，为老年人提供导学服务、个性化学习推荐等学习支持。</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整合文化体育科技资源服务老年教育。</w:t>
            </w:r>
            <w:r w:rsidRPr="004576B2">
              <w:rPr>
                <w:rFonts w:ascii="宋体" w:eastAsia="宋体" w:hAnsi="宋体" w:cs="宋体" w:hint="eastAsia"/>
                <w:color w:val="333333"/>
                <w:kern w:val="0"/>
                <w:sz w:val="24"/>
                <w:szCs w:val="24"/>
              </w:rPr>
              <w:t>推动美术馆、图书馆、文化馆（站、中心）、科技馆、博物馆、纪念馆、公共体育设施、爱国主义示范基地、科普教育基地等向老年人免费开放。鼓励有条件的地区发挥文化、教育、体育、科技等资源优势，结合区域实际，建设不同主题、富有特色的老年教育学习体验基地。充分发挥广播电视、报刊杂志、门户网站等媒体作用，开设贴近老年人生活的专栏专题。</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（四）创新老年教育发展机制。</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鼓励社会力量参与老年教育。</w:t>
            </w:r>
            <w:r w:rsidRPr="004576B2">
              <w:rPr>
                <w:rFonts w:ascii="宋体" w:eastAsia="宋体" w:hAnsi="宋体" w:cs="宋体" w:hint="eastAsia"/>
                <w:color w:val="333333"/>
                <w:kern w:val="0"/>
                <w:sz w:val="24"/>
                <w:szCs w:val="24"/>
              </w:rPr>
              <w:t>充分激发市场活力，推进举办主体、资金筹措渠道的多元化，通过政府购买服务、项目合作等多种方式，支持和鼓励各类社会力量通过独资、合资、合作等形式举办或参与老年教育。运用市场机制调节供需关系，进一步优化老年教育的市场结构、内容和布局。加强规划指导和外部监管，营造平等参与、公平竞争的市场环境。充分发挥社会组织在老年教育中的作用，鼓励其通过提供师资、开发课程等方式支持开展老年教育。支持老年教育领域社会组织和老年志愿服务团队发展。</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促进老年教育与相关产业联动。</w:t>
            </w:r>
            <w:r w:rsidRPr="004576B2">
              <w:rPr>
                <w:rFonts w:ascii="宋体" w:eastAsia="宋体" w:hAnsi="宋体" w:cs="宋体" w:hint="eastAsia"/>
                <w:color w:val="333333"/>
                <w:kern w:val="0"/>
                <w:sz w:val="24"/>
                <w:szCs w:val="24"/>
              </w:rPr>
              <w:t>扩大老年教育消费，发掘与老年教育密切相关的养老服务、旅游、服装服饰、文化等产业价值，促进生活性服务业提档升级，拉动内需，推动投资增长和相关产业发展。</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（五）促进老年教育可持续发展。</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加强学科建设与人才培养培训。</w:t>
            </w:r>
            <w:r w:rsidRPr="004576B2">
              <w:rPr>
                <w:rFonts w:ascii="宋体" w:eastAsia="宋体" w:hAnsi="宋体" w:cs="宋体" w:hint="eastAsia"/>
                <w:color w:val="333333"/>
                <w:kern w:val="0"/>
                <w:sz w:val="24"/>
                <w:szCs w:val="24"/>
              </w:rPr>
              <w:t>鼓励综合类高校、师范类院校、职业院校开设老年教育相</w:t>
            </w:r>
            <w:r w:rsidRPr="004576B2">
              <w:rPr>
                <w:rFonts w:ascii="宋体" w:eastAsia="宋体" w:hAnsi="宋体" w:cs="宋体" w:hint="eastAsia"/>
                <w:color w:val="333333"/>
                <w:kern w:val="0"/>
                <w:sz w:val="24"/>
                <w:szCs w:val="24"/>
              </w:rPr>
              <w:lastRenderedPageBreak/>
              <w:t>关专业，其他高校也要加强老年教育相关专业建设。支持有条件的高校开展老年教育方向的研究生教育，加快培养老年教育教学、科研和管理人才。鼓励老年教育机构的专任教师和管理人员在职进修老年教育专业课程，攻读相关专业学位。</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加强理论与政策研究。</w:t>
            </w:r>
            <w:r w:rsidRPr="004576B2">
              <w:rPr>
                <w:rFonts w:ascii="宋体" w:eastAsia="宋体" w:hAnsi="宋体" w:cs="宋体" w:hint="eastAsia"/>
                <w:color w:val="333333"/>
                <w:kern w:val="0"/>
                <w:sz w:val="24"/>
                <w:szCs w:val="24"/>
              </w:rPr>
              <w:t>依托有关高校、科研院所、老年教育机构等建立若干个老年教育研究基地，开展老年教育基础理论研究、政策研究和应用研究，探讨和解决老年教育发展中的重大理论和实践问题。加强老年教育学术期刊建设，搭建优秀成果共享和推广平台。鼓励社会组织开展老年教育优秀研究成果交流活动。</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加强国际交流合作。</w:t>
            </w:r>
            <w:r w:rsidRPr="004576B2">
              <w:rPr>
                <w:rFonts w:ascii="宋体" w:eastAsia="宋体" w:hAnsi="宋体" w:cs="宋体" w:hint="eastAsia"/>
                <w:color w:val="333333"/>
                <w:kern w:val="0"/>
                <w:sz w:val="24"/>
                <w:szCs w:val="24"/>
              </w:rPr>
              <w:t>积极参与有关国际教育组织的活动，加强与国外老年教育机构的交流与合作，借鉴国外老年教育先进理念和做法，宣传推广我国发展老年教育的经验与成果，扩大我国老年教育的国际影响力。</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宋体" w:eastAsia="宋体" w:hAnsi="宋体" w:cs="宋体" w:hint="eastAsia"/>
                <w:b/>
                <w:bCs/>
                <w:color w:val="333333"/>
                <w:kern w:val="0"/>
                <w:sz w:val="24"/>
                <w:szCs w:val="24"/>
              </w:rPr>
              <w:t>四、重点推进计划</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（一）社会主义核心价值观培育计划。</w:t>
            </w:r>
            <w:r w:rsidRPr="004576B2">
              <w:rPr>
                <w:rFonts w:ascii="宋体" w:eastAsia="宋体" w:hAnsi="宋体" w:cs="宋体" w:hint="eastAsia"/>
                <w:color w:val="333333"/>
                <w:kern w:val="0"/>
                <w:sz w:val="24"/>
                <w:szCs w:val="24"/>
              </w:rPr>
              <w:t>将培育和</w:t>
            </w:r>
            <w:proofErr w:type="gramStart"/>
            <w:r w:rsidRPr="004576B2">
              <w:rPr>
                <w:rFonts w:ascii="宋体" w:eastAsia="宋体" w:hAnsi="宋体" w:cs="宋体" w:hint="eastAsia"/>
                <w:color w:val="333333"/>
                <w:kern w:val="0"/>
                <w:sz w:val="24"/>
                <w:szCs w:val="24"/>
              </w:rPr>
              <w:t>践行</w:t>
            </w:r>
            <w:proofErr w:type="gramEnd"/>
            <w:r w:rsidRPr="004576B2">
              <w:rPr>
                <w:rFonts w:ascii="宋体" w:eastAsia="宋体" w:hAnsi="宋体" w:cs="宋体" w:hint="eastAsia"/>
                <w:color w:val="333333"/>
                <w:kern w:val="0"/>
                <w:sz w:val="24"/>
                <w:szCs w:val="24"/>
              </w:rPr>
              <w:t>社会主义核心价值观作为老年教育的重要内容，编写相关读本，设计形式多样的教育活动项目，将社会主义核心价值观融入老年人学习和活动之中。积极推进校园文化建设，培育优良校风、教风、学风，打造一批在培育和</w:t>
            </w:r>
            <w:proofErr w:type="gramStart"/>
            <w:r w:rsidRPr="004576B2">
              <w:rPr>
                <w:rFonts w:ascii="宋体" w:eastAsia="宋体" w:hAnsi="宋体" w:cs="宋体" w:hint="eastAsia"/>
                <w:color w:val="333333"/>
                <w:kern w:val="0"/>
                <w:sz w:val="24"/>
                <w:szCs w:val="24"/>
              </w:rPr>
              <w:t>践行</w:t>
            </w:r>
            <w:proofErr w:type="gramEnd"/>
            <w:r w:rsidRPr="004576B2">
              <w:rPr>
                <w:rFonts w:ascii="宋体" w:eastAsia="宋体" w:hAnsi="宋体" w:cs="宋体" w:hint="eastAsia"/>
                <w:color w:val="333333"/>
                <w:kern w:val="0"/>
                <w:sz w:val="24"/>
                <w:szCs w:val="24"/>
              </w:rPr>
              <w:t>社会主义核心价值观方面具有示范作用的老年学校、老年学习团队。</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（二）老年教育机构基础能力提升计划。</w:t>
            </w:r>
            <w:r w:rsidRPr="004576B2">
              <w:rPr>
                <w:rFonts w:ascii="宋体" w:eastAsia="宋体" w:hAnsi="宋体" w:cs="宋体" w:hint="eastAsia"/>
                <w:color w:val="333333"/>
                <w:kern w:val="0"/>
                <w:sz w:val="24"/>
                <w:szCs w:val="24"/>
              </w:rPr>
              <w:t>整合资源，改善基层社区老年教育机构设施设备，建设一批在本区域发挥示范作用的乡镇（街道）社区老年人学习场所，建设好村（居委会）老年社区学习点。改善现有老年大学办学条件，提升其教学场所和设施的现代化、规范化水平，进一步增强其社会服务能力。到2020年，全国县级以上城市原则上至少应有一所老年大学，50%的乡镇（街道）建有老年学校，30%的行政村（居委会）建有老年学习点。探索“养、</w:t>
            </w:r>
            <w:proofErr w:type="gramStart"/>
            <w:r w:rsidRPr="004576B2">
              <w:rPr>
                <w:rFonts w:ascii="宋体" w:eastAsia="宋体" w:hAnsi="宋体" w:cs="宋体" w:hint="eastAsia"/>
                <w:color w:val="333333"/>
                <w:kern w:val="0"/>
                <w:sz w:val="24"/>
                <w:szCs w:val="24"/>
              </w:rPr>
              <w:t>医</w:t>
            </w:r>
            <w:proofErr w:type="gramEnd"/>
            <w:r w:rsidRPr="004576B2">
              <w:rPr>
                <w:rFonts w:ascii="宋体" w:eastAsia="宋体" w:hAnsi="宋体" w:cs="宋体" w:hint="eastAsia"/>
                <w:color w:val="333333"/>
                <w:kern w:val="0"/>
                <w:sz w:val="24"/>
                <w:szCs w:val="24"/>
              </w:rPr>
              <w:t>、体、文”等场所与老年人学习场所的结合，推出一批创新老年教育办学模式的典型。各省（区、市）选取若干个养老服务机构，开展养教结合试点。</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（三）学习资源建设整合计划。</w:t>
            </w:r>
            <w:r w:rsidRPr="004576B2">
              <w:rPr>
                <w:rFonts w:ascii="宋体" w:eastAsia="宋体" w:hAnsi="宋体" w:cs="宋体" w:hint="eastAsia"/>
                <w:color w:val="333333"/>
                <w:kern w:val="0"/>
                <w:sz w:val="24"/>
                <w:szCs w:val="24"/>
              </w:rPr>
              <w:t>研究制定老年人学习发展指南，为不同年龄层次的老年人提供包括学习规划在内的咨询服务。探索建立老年教育通用课程教学大纲，促进资源建设规范化、多样化。遴选、开发一批通用型老年学习资源，整合一批优秀传统文化、非物质文化遗产、地方特色老年教育资源，推介一批科普知识和健康知识学习资源，引进一批国外优质学习资源，形成系列优质课程推荐目录。定期举办老年学习资源建设交流活动。到2020年，各省（区、市）都应初步建立起支撑区域内老年教育发展的老年学习资源库。</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（四）远程老年教育推进计划。</w:t>
            </w:r>
            <w:r w:rsidRPr="004576B2">
              <w:rPr>
                <w:rFonts w:ascii="宋体" w:eastAsia="宋体" w:hAnsi="宋体" w:cs="宋体" w:hint="eastAsia"/>
                <w:color w:val="333333"/>
                <w:kern w:val="0"/>
                <w:sz w:val="24"/>
                <w:szCs w:val="24"/>
              </w:rPr>
              <w:t>探索以开放大学和广播电视大学为主体建设老年开放大学，开发整合远程老年教育多媒体课程资源。支持国家开放大学率先建设在全国发挥示范作用的老年健康艺术教育体验基地。推动有条件的省（区、市）老年大学、开放大学和广播电视大学建设具有地方特色的示范性老年教育体验基地。到2020年，力争全国50%的县（市、区）可通</w:t>
            </w:r>
            <w:r w:rsidRPr="004576B2">
              <w:rPr>
                <w:rFonts w:ascii="宋体" w:eastAsia="宋体" w:hAnsi="宋体" w:cs="宋体" w:hint="eastAsia"/>
                <w:color w:val="333333"/>
                <w:kern w:val="0"/>
                <w:sz w:val="24"/>
                <w:szCs w:val="24"/>
              </w:rPr>
              <w:lastRenderedPageBreak/>
              <w:t>过远程教育开展老年教育工作。</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（五）老有所为行动计划。</w:t>
            </w:r>
            <w:r w:rsidRPr="004576B2">
              <w:rPr>
                <w:rFonts w:ascii="宋体" w:eastAsia="宋体" w:hAnsi="宋体" w:cs="宋体" w:hint="eastAsia"/>
                <w:color w:val="333333"/>
                <w:kern w:val="0"/>
                <w:sz w:val="24"/>
                <w:szCs w:val="24"/>
              </w:rPr>
              <w:t>组织引导离退休老干部、老同志讲好中国故事、弘扬中国精神、传播中国好声音。积极搭建服务平台，建立由离退休干部、专业技术人员及其他有所专长的老同志组成的老年教育兼职教师队伍。推动各类老年社会团体与大中小学校合作，发挥老年人在教育引导青少年继承优良传统、培育科学精神等方面的积极作用。广泛开展老年志愿服务活动，到2020年，力争每个老年大学培育1—2支老年志愿者队伍，老年学校普遍建有志愿者服务组织。</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宋体" w:eastAsia="宋体" w:hAnsi="宋体" w:cs="宋体" w:hint="eastAsia"/>
                <w:b/>
                <w:bCs/>
                <w:color w:val="333333"/>
                <w:kern w:val="0"/>
                <w:sz w:val="24"/>
                <w:szCs w:val="24"/>
              </w:rPr>
              <w:t>五、保障措施</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（一）加强组织实施。</w:t>
            </w:r>
            <w:r w:rsidRPr="004576B2">
              <w:rPr>
                <w:rFonts w:ascii="宋体" w:eastAsia="宋体" w:hAnsi="宋体" w:cs="宋体" w:hint="eastAsia"/>
                <w:color w:val="333333"/>
                <w:kern w:val="0"/>
                <w:sz w:val="24"/>
                <w:szCs w:val="24"/>
              </w:rPr>
              <w:t>建立健全党委领导、政府统筹，教育、组织、民政、文化、老龄部门密切配合，其他相关部门共同参与的老年教育管理体制。各相关部门要按照职责分工，加强沟通协调，通过规划编制、政策制定、指导监督，共同研究解决老年教育发展中的重大问题。老年教育工作要纳入对各级政府相关部门绩效考评内容。各省（区、市）要把老年教育纳入本地区经济社会发展规划和教育事业发展规划，结合实际，提出落实本规划、加快发展老年教育的具体实施方案和举措，分阶段、分步骤组织实施。对各地区在实施本规划中好的做法和经验，要及时总结推广。</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（二）推动法规制度建设。</w:t>
            </w:r>
            <w:r w:rsidRPr="004576B2">
              <w:rPr>
                <w:rFonts w:ascii="宋体" w:eastAsia="宋体" w:hAnsi="宋体" w:cs="宋体" w:hint="eastAsia"/>
                <w:color w:val="333333"/>
                <w:kern w:val="0"/>
                <w:sz w:val="24"/>
                <w:szCs w:val="24"/>
              </w:rPr>
              <w:t>研究完善涉及老年教育的相关制度。支持鼓励有条件的地区通过制定相关地方法规促进老年教育事业规范健康发展。在老龄事业相关政策措施中重视支持发展老年教育。探索开展老年教育发展情况调查统计工作，支持社会组织等第三方开展老年教育发展状况评估和研究。</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（三）加强队伍建设。</w:t>
            </w:r>
            <w:r w:rsidRPr="004576B2">
              <w:rPr>
                <w:rFonts w:ascii="宋体" w:eastAsia="宋体" w:hAnsi="宋体" w:cs="宋体" w:hint="eastAsia"/>
                <w:color w:val="333333"/>
                <w:kern w:val="0"/>
                <w:sz w:val="24"/>
                <w:szCs w:val="24"/>
              </w:rPr>
              <w:t>鼓励普通高校、职业院校相关专业毕业生及相关行业优秀人才到老年教育机构工作。各级各类学校要鼓励教师参与老年教育相关工作，并纳入本校工作考核，支持教师到校外老年教育机构兼职任教或从事志愿服务。建立老年教育教师岗位培训制度，支持老年教育机构教师、技术和管理人员的专业发展。专职人员在薪酬福利、业务进修、职务（职称）评聘、绩效考核等方面享有同类学校工作人员的同等权利和待遇。鼓励专业社工等参与从事老年教育工作。建立老年教育师资库。加快培养一支结构合理、数量充足、素质优良，以专职人员为骨干、与兼职人员和志愿者相结合的教学和管理队伍。</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（四）完善经费投入机制。</w:t>
            </w:r>
            <w:r w:rsidRPr="004576B2">
              <w:rPr>
                <w:rFonts w:ascii="宋体" w:eastAsia="宋体" w:hAnsi="宋体" w:cs="宋体" w:hint="eastAsia"/>
                <w:color w:val="333333"/>
                <w:kern w:val="0"/>
                <w:sz w:val="24"/>
                <w:szCs w:val="24"/>
              </w:rPr>
              <w:t>各地区要采取多种方式努力增加对老年教育的投入，切实拓宽老年教育经费投入渠道，形成政府、市场、社会组织和学习者等多主体分担和筹措老年教育经费的机制。老年教育经费应主要用于老年教育公共服务。鼓励和支持行业企业、社会组织和个人设立老年教育发展基金，企业和个人对老年教育的公益性捐赠支出按照税收法律法规规定享受所得税税前扣除政策。</w:t>
            </w:r>
          </w:p>
          <w:p w:rsidR="004576B2" w:rsidRPr="004576B2" w:rsidRDefault="004576B2" w:rsidP="004576B2">
            <w:pPr>
              <w:widowControl/>
              <w:spacing w:line="432" w:lineRule="atLeast"/>
              <w:ind w:firstLine="480"/>
              <w:rPr>
                <w:rFonts w:ascii="宋体" w:eastAsia="宋体" w:hAnsi="宋体" w:cs="宋体"/>
                <w:color w:val="333333"/>
                <w:kern w:val="0"/>
                <w:sz w:val="24"/>
                <w:szCs w:val="24"/>
              </w:rPr>
            </w:pPr>
            <w:r w:rsidRPr="004576B2">
              <w:rPr>
                <w:rFonts w:ascii="楷体" w:eastAsia="楷体" w:hAnsi="楷体" w:cs="宋体" w:hint="eastAsia"/>
                <w:color w:val="333333"/>
                <w:kern w:val="0"/>
                <w:sz w:val="24"/>
                <w:szCs w:val="24"/>
              </w:rPr>
              <w:t>（五）营造良好氛围。</w:t>
            </w:r>
            <w:r w:rsidRPr="004576B2">
              <w:rPr>
                <w:rFonts w:ascii="宋体" w:eastAsia="宋体" w:hAnsi="宋体" w:cs="宋体" w:hint="eastAsia"/>
                <w:color w:val="333333"/>
                <w:kern w:val="0"/>
                <w:sz w:val="24"/>
                <w:szCs w:val="24"/>
              </w:rPr>
              <w:t>各地区各部门要广泛宣传党和国家关于发展老年教育的方针政策，</w:t>
            </w:r>
            <w:r w:rsidRPr="004576B2">
              <w:rPr>
                <w:rFonts w:ascii="宋体" w:eastAsia="宋体" w:hAnsi="宋体" w:cs="宋体" w:hint="eastAsia"/>
                <w:color w:val="333333"/>
                <w:kern w:val="0"/>
                <w:sz w:val="24"/>
                <w:szCs w:val="24"/>
              </w:rPr>
              <w:lastRenderedPageBreak/>
              <w:t>广泛宣传老年教育发展中的典型经验、案例、做法和成效，努力使全社会关心、支持和参与老年教育的氛围更加浓厚。要充分调动老年人参与学习的积极性和主动性，积极培育老年学习文化，使学习风尚融入老年人生活，使老年教育成为增进老年人福祉的重要内容。</w:t>
            </w:r>
          </w:p>
        </w:tc>
      </w:tr>
    </w:tbl>
    <w:p w:rsidR="00424DEA" w:rsidRDefault="00424DEA" w:rsidP="004576B2">
      <w:pPr>
        <w:pStyle w:val="a3"/>
        <w:shd w:val="clear" w:color="auto" w:fill="FFFFFF"/>
        <w:rPr>
          <w:rFonts w:hint="eastAsia"/>
          <w:color w:val="000000"/>
        </w:rPr>
      </w:pPr>
    </w:p>
    <w:p w:rsidR="004576B2" w:rsidRDefault="00424DEA" w:rsidP="004576B2">
      <w:pPr>
        <w:pStyle w:val="a3"/>
        <w:shd w:val="clear" w:color="auto" w:fill="FFFFFF"/>
        <w:rPr>
          <w:rFonts w:hint="eastAsia"/>
          <w:color w:val="000000"/>
        </w:rPr>
      </w:pPr>
      <w:bookmarkStart w:id="0" w:name="_GoBack"/>
      <w:bookmarkEnd w:id="0"/>
      <w:r>
        <w:rPr>
          <w:rFonts w:hint="eastAsia"/>
          <w:color w:val="000000"/>
        </w:rPr>
        <w:t>文章出处：</w:t>
      </w:r>
    </w:p>
    <w:p w:rsidR="00424DEA" w:rsidRDefault="00424DEA" w:rsidP="004576B2">
      <w:pPr>
        <w:pStyle w:val="a3"/>
        <w:shd w:val="clear" w:color="auto" w:fill="FFFFFF"/>
        <w:rPr>
          <w:rFonts w:hint="eastAsia"/>
          <w:color w:val="000000"/>
        </w:rPr>
      </w:pPr>
      <w:hyperlink r:id="rId7" w:history="1">
        <w:r w:rsidRPr="001127B0">
          <w:rPr>
            <w:rStyle w:val="a7"/>
          </w:rPr>
          <w:t>http://www.gov.cn/zhengce/content/2016-10/19/content_5121344.htm</w:t>
        </w:r>
      </w:hyperlink>
    </w:p>
    <w:p w:rsidR="00424DEA" w:rsidRDefault="00424DEA" w:rsidP="004576B2">
      <w:pPr>
        <w:pStyle w:val="a3"/>
        <w:shd w:val="clear" w:color="auto" w:fill="FFFFFF"/>
        <w:rPr>
          <w:color w:val="000000"/>
        </w:rPr>
      </w:pPr>
    </w:p>
    <w:p w:rsidR="008978D6" w:rsidRPr="004576B2" w:rsidRDefault="008978D6"/>
    <w:sectPr w:rsidR="008978D6" w:rsidRPr="004576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790" w:rsidRDefault="00247790" w:rsidP="00FE1AEB">
      <w:r>
        <w:separator/>
      </w:r>
    </w:p>
  </w:endnote>
  <w:endnote w:type="continuationSeparator" w:id="0">
    <w:p w:rsidR="00247790" w:rsidRDefault="00247790" w:rsidP="00FE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790" w:rsidRDefault="00247790" w:rsidP="00FE1AEB">
      <w:r>
        <w:separator/>
      </w:r>
    </w:p>
  </w:footnote>
  <w:footnote w:type="continuationSeparator" w:id="0">
    <w:p w:rsidR="00247790" w:rsidRDefault="00247790" w:rsidP="00FE1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6B2"/>
    <w:rsid w:val="00247790"/>
    <w:rsid w:val="003F7423"/>
    <w:rsid w:val="00424DEA"/>
    <w:rsid w:val="004576B2"/>
    <w:rsid w:val="008978D6"/>
    <w:rsid w:val="00FE1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76B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576B2"/>
    <w:rPr>
      <w:b/>
      <w:bCs/>
    </w:rPr>
  </w:style>
  <w:style w:type="paragraph" w:styleId="a5">
    <w:name w:val="header"/>
    <w:basedOn w:val="a"/>
    <w:link w:val="Char"/>
    <w:uiPriority w:val="99"/>
    <w:unhideWhenUsed/>
    <w:rsid w:val="00FE1A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E1AEB"/>
    <w:rPr>
      <w:sz w:val="18"/>
      <w:szCs w:val="18"/>
    </w:rPr>
  </w:style>
  <w:style w:type="paragraph" w:styleId="a6">
    <w:name w:val="footer"/>
    <w:basedOn w:val="a"/>
    <w:link w:val="Char0"/>
    <w:uiPriority w:val="99"/>
    <w:unhideWhenUsed/>
    <w:rsid w:val="00FE1AEB"/>
    <w:pPr>
      <w:tabs>
        <w:tab w:val="center" w:pos="4153"/>
        <w:tab w:val="right" w:pos="8306"/>
      </w:tabs>
      <w:snapToGrid w:val="0"/>
      <w:jc w:val="left"/>
    </w:pPr>
    <w:rPr>
      <w:sz w:val="18"/>
      <w:szCs w:val="18"/>
    </w:rPr>
  </w:style>
  <w:style w:type="character" w:customStyle="1" w:styleId="Char0">
    <w:name w:val="页脚 Char"/>
    <w:basedOn w:val="a0"/>
    <w:link w:val="a6"/>
    <w:uiPriority w:val="99"/>
    <w:rsid w:val="00FE1AEB"/>
    <w:rPr>
      <w:sz w:val="18"/>
      <w:szCs w:val="18"/>
    </w:rPr>
  </w:style>
  <w:style w:type="character" w:styleId="a7">
    <w:name w:val="Hyperlink"/>
    <w:basedOn w:val="a0"/>
    <w:uiPriority w:val="99"/>
    <w:unhideWhenUsed/>
    <w:rsid w:val="00424D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76B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576B2"/>
    <w:rPr>
      <w:b/>
      <w:bCs/>
    </w:rPr>
  </w:style>
  <w:style w:type="paragraph" w:styleId="a5">
    <w:name w:val="header"/>
    <w:basedOn w:val="a"/>
    <w:link w:val="Char"/>
    <w:uiPriority w:val="99"/>
    <w:unhideWhenUsed/>
    <w:rsid w:val="00FE1A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E1AEB"/>
    <w:rPr>
      <w:sz w:val="18"/>
      <w:szCs w:val="18"/>
    </w:rPr>
  </w:style>
  <w:style w:type="paragraph" w:styleId="a6">
    <w:name w:val="footer"/>
    <w:basedOn w:val="a"/>
    <w:link w:val="Char0"/>
    <w:uiPriority w:val="99"/>
    <w:unhideWhenUsed/>
    <w:rsid w:val="00FE1AEB"/>
    <w:pPr>
      <w:tabs>
        <w:tab w:val="center" w:pos="4153"/>
        <w:tab w:val="right" w:pos="8306"/>
      </w:tabs>
      <w:snapToGrid w:val="0"/>
      <w:jc w:val="left"/>
    </w:pPr>
    <w:rPr>
      <w:sz w:val="18"/>
      <w:szCs w:val="18"/>
    </w:rPr>
  </w:style>
  <w:style w:type="character" w:customStyle="1" w:styleId="Char0">
    <w:name w:val="页脚 Char"/>
    <w:basedOn w:val="a0"/>
    <w:link w:val="a6"/>
    <w:uiPriority w:val="99"/>
    <w:rsid w:val="00FE1AEB"/>
    <w:rPr>
      <w:sz w:val="18"/>
      <w:szCs w:val="18"/>
    </w:rPr>
  </w:style>
  <w:style w:type="character" w:styleId="a7">
    <w:name w:val="Hyperlink"/>
    <w:basedOn w:val="a0"/>
    <w:uiPriority w:val="99"/>
    <w:unhideWhenUsed/>
    <w:rsid w:val="00424D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86658">
      <w:bodyDiv w:val="1"/>
      <w:marLeft w:val="0"/>
      <w:marRight w:val="0"/>
      <w:marTop w:val="0"/>
      <w:marBottom w:val="0"/>
      <w:divBdr>
        <w:top w:val="none" w:sz="0" w:space="0" w:color="auto"/>
        <w:left w:val="none" w:sz="0" w:space="0" w:color="auto"/>
        <w:bottom w:val="none" w:sz="0" w:space="0" w:color="auto"/>
        <w:right w:val="none" w:sz="0" w:space="0" w:color="auto"/>
      </w:divBdr>
    </w:div>
    <w:div w:id="572475836">
      <w:bodyDiv w:val="1"/>
      <w:marLeft w:val="0"/>
      <w:marRight w:val="0"/>
      <w:marTop w:val="0"/>
      <w:marBottom w:val="0"/>
      <w:divBdr>
        <w:top w:val="none" w:sz="0" w:space="0" w:color="auto"/>
        <w:left w:val="none" w:sz="0" w:space="0" w:color="auto"/>
        <w:bottom w:val="none" w:sz="0" w:space="0" w:color="auto"/>
        <w:right w:val="none" w:sz="0" w:space="0" w:color="auto"/>
      </w:divBdr>
    </w:div>
    <w:div w:id="191169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cn/zhengce/content/2016-10/19/content_5121344.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1020</Words>
  <Characters>5814</Characters>
  <Application>Microsoft Office Word</Application>
  <DocSecurity>0</DocSecurity>
  <Lines>48</Lines>
  <Paragraphs>13</Paragraphs>
  <ScaleCrop>false</ScaleCrop>
  <Company>Sky123.Org</Company>
  <LinksUpToDate>false</LinksUpToDate>
  <CharactersWithSpaces>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3</cp:revision>
  <dcterms:created xsi:type="dcterms:W3CDTF">2018-03-27T02:52:00Z</dcterms:created>
  <dcterms:modified xsi:type="dcterms:W3CDTF">2018-04-23T06:50:00Z</dcterms:modified>
</cp:coreProperties>
</file>